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textAlignment w:val="baseline"/>
        <w:rPr>
          <w:rFonts w:ascii="微软雅黑" w:hAnsi="微软雅黑" w:eastAsia="微软雅黑" w:cs="微软雅黑"/>
          <w:b/>
          <w:i w:val="0"/>
          <w:caps w:val="0"/>
          <w:color w:val="676767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76767"/>
          <w:spacing w:val="0"/>
          <w:sz w:val="36"/>
          <w:szCs w:val="36"/>
          <w:shd w:val="clear" w:fill="FFFFFF"/>
          <w:vertAlign w:val="baseline"/>
        </w:rPr>
        <w:t>DBX 510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1" w:lineRule="atLeast"/>
        <w:ind w:left="0" w:firstLine="0"/>
        <w:rPr>
          <w:rFonts w:ascii="berthold_akzidenz_groteskLtCn" w:hAnsi="berthold_akzidenz_groteskLtCn" w:eastAsia="berthold_akzidenz_groteskLtCn" w:cs="berthold_akzidenz_groteskLtCn"/>
          <w:i w:val="0"/>
          <w:caps w:val="0"/>
          <w:color w:val="D72131"/>
          <w:spacing w:val="0"/>
          <w:sz w:val="40"/>
          <w:szCs w:val="40"/>
        </w:rPr>
      </w:pPr>
      <w:r>
        <w:rPr>
          <w:rFonts w:hint="default" w:ascii="berthold_akzidenz_groteskLtCn" w:hAnsi="berthold_akzidenz_groteskLtCn" w:eastAsia="berthold_akzidenz_groteskLtCn" w:cs="berthold_akzidenz_groteskLtCn"/>
          <w:i w:val="0"/>
          <w:caps w:val="0"/>
          <w:color w:val="D72131"/>
          <w:spacing w:val="0"/>
          <w:sz w:val="40"/>
          <w:szCs w:val="40"/>
          <w:bdr w:val="none" w:color="auto" w:sz="0" w:space="0"/>
          <w:shd w:val="clear" w:fill="FFFFFF"/>
        </w:rPr>
        <w:t>技术指标</w:t>
      </w:r>
    </w:p>
    <w:tbl>
      <w:tblPr>
        <w:tblW w:w="9459" w:type="dxa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4"/>
        <w:gridCol w:w="76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bookmarkStart w:id="0" w:name="_GoBack"/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输入类型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电子平衡/不平衡，射频滤波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输入阻抗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 kΩ平衡，10 kΩ非平衡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最大输入电平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+22分贝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CMRR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&gt; 40分贝；通常在1 kHz时&gt; 55 dB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输出类型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电子平衡/不平衡，射频滤波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输出阻抗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平衡30Ω，不平衡15Ω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最大输出水平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+22分贝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频率响应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20Hz – 20kHz，+ 0 / -0.5dB；14 Hz – 120 kHz，+ 0 / -3 dB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噪声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&lt;-99 dBu，未加权（22 Hz – 22 kHz）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THD +噪声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&lt;0.006％典型值，无压缩，0 dBu时1输入kHz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动态范围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&gt; 114分贝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获得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统一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交叉点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可变800 Hz至8 kHz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分频滤波器类型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 dB /倍频程，相位相干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设计范围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无需调整即可在-40 dBu至+22 dBu的输入范围内均匀运行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最大衰减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可变0至20 dB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攻击速度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与程序有关，对于高于阈值的10 dB为2 ms，高于阈值的20 dB为600μs，以实现63％的增益降低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释放率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925 dB /秒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控制项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频率范围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输入/输出，模式（仅高频/正常）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输入/输出，仅高频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测光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LED列：1、2、3、4、6、8、10、12、15、20 dB增益降低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电源要求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+/- 16V直流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功率消耗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每个电源轨76 mA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功率消耗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2.4瓦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机架系统兼容性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500系列兼容电源架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机架空间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1个插槽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尺寸（高x宽x深）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5.25英寸x 1.5英寸x 6英寸（13.34厘米x 3.81厘米x 15.24厘米）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1.3磅（0.59公斤）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装运重量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1.7磅（0.77公斤）</w:t>
            </w:r>
          </w:p>
        </w:tc>
      </w:tr>
      <w:bookmarkEnd w:id="0"/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erthold_akzidenz_groteskLt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0358E"/>
    <w:rsid w:val="1B1F4D27"/>
    <w:rsid w:val="24C0358E"/>
    <w:rsid w:val="40D730D8"/>
    <w:rsid w:val="61B9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2020-02-23T02:38:00Z</dcterms:created>
  <dc:creator>潘正亮</dc:creator>
  <cp:lastModifiedBy>潘正亮</cp:lastModifiedBy>
  <dcterms:modified xsi:type="dcterms:W3CDTF">2020-02-26T09:47:35Z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